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A30CE8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Magyargencs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A30CE8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>. (XI.8. ) 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 rendeli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A30CE8">
        <w:rPr>
          <w:rFonts w:ascii="Times New Roman" w:hAnsi="Times New Roman" w:cs="Times New Roman"/>
          <w:sz w:val="24"/>
          <w:szCs w:val="24"/>
        </w:rPr>
        <w:t>Magyargencs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község sajátos településképének társadalmi bevonás és konszenzus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A30CE8">
        <w:rPr>
          <w:rFonts w:ascii="Times New Roman" w:hAnsi="Times New Roman" w:cs="Times New Roman"/>
          <w:sz w:val="24"/>
          <w:szCs w:val="24"/>
        </w:rPr>
        <w:t>Magyargencs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dokumentáció, mely a tervezett építmény élő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lastRenderedPageBreak/>
        <w:t>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C42AD9">
      <w:pPr>
        <w:pStyle w:val="Listaszerbekezds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népszerűsítő egyéb feliratot és más grafikai megjelenítés, üzlethelyiség portáljában (kirakatában) elhelyezett gazdasági reklám</w:t>
      </w:r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C42AD9">
      <w:pPr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rövidebbik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vesszővel vagy deszkával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C42AD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állékony</w:t>
      </w:r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állékony szerkezet utólagosan ragasztott burkolata, mely természetes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80%-nál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B76E9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4.§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A30CE8">
        <w:rPr>
          <w:rFonts w:ascii="Times New Roman" w:eastAsia="Times New Roman" w:hAnsi="Times New Roman" w:cs="Times New Roman"/>
          <w:sz w:val="24"/>
          <w:szCs w:val="24"/>
        </w:rPr>
        <w:t>Magyargencs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5.§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alá helyezésről, illetve annak megszűnéséről a Képviselő-testület e rendelettel, és annak módosításával dönt. </w:t>
      </w: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védelemre vonatkozó kezdeményezésnek tartalmaznia kell: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B76E9E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B76E9E" w:rsidRPr="00FC3E2C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(5) A védelem megszüntetésére akkor kerülhet sor, ha 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B76E9E" w:rsidRPr="007923EA" w:rsidRDefault="00B76E9E" w:rsidP="00B76E9E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6.§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főépítész gondoskodik.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főépítész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Beszerezhető még az érintett ingatlanok tulajdonosai, érintett helyi, szakmai, társadalmi szervek, egyesülések (a továbbiakban együtt: érdekeltek) álláspontja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B76E9E" w:rsidRPr="007923EA" w:rsidRDefault="00B76E9E" w:rsidP="00B76E9E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7.§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lastRenderedPageBreak/>
        <w:t>az illetékes építésügyi hatóságot,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8.§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képviselőtestülete a védelemre javasolt épített értékeket - a védetté nyilvánítás előkészítésének megindításával egyidejűleg soron kívül legfeljebb egy éves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időtartamra rendelettel ideiglenes egyedi védelem alá helyezheti.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Az ideiglenes egyedi védelem alatt álló értékekre a helyi egyedi védelem alatt álló értékekre vonatkozó rendelkezéseket kell alkalmazni.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Az ideiglenes egyedi védelem megszűnik az intézkedésben megjelölt időtartam elteltével, illetve a védetté nyilvánításról szóló rendelet hatálybalépésével.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Amennyiben a védetté nyilvánítás előkészítése során megállapítást nyer, hogy a védetté nyilvánítás nem indokolt az ideiglenes egyedi védelmet meg kell szüntetni.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(5) Az ideiglenes egyedi védelem elrendeléséről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7.§. (1) bekezdésben felsoroltakat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9.§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helyi egyedi védelem alatt álló épületek bővítése felújítása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épület teljes védelme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az eredeti épület anyaghasználatát, léptékét és formavilágát alkalmazó, vagy ahhoz alkalmazkodó építészeti megoldások </w:t>
      </w:r>
      <w:r>
        <w:rPr>
          <w:rFonts w:ascii="Times New Roman" w:eastAsia="Times New Roman" w:hAnsi="Times New Roman" w:cs="Times New Roman"/>
          <w:sz w:val="24"/>
          <w:szCs w:val="24"/>
        </w:rPr>
        <w:t>alkalmazhatók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Az épületeken, építményeken végzett bármilyen építési munka esetén örökségvédelmi </w:t>
      </w:r>
      <w:r>
        <w:rPr>
          <w:rFonts w:ascii="Times New Roman" w:eastAsia="Times New Roman" w:hAnsi="Times New Roman" w:cs="Times New Roman"/>
          <w:sz w:val="24"/>
          <w:szCs w:val="24"/>
        </w:rPr>
        <w:t>szakember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iránymutatásai szerint kell eljárni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csak egyes részletek kerültek védelemre akkor értelem szerűen csak a védendő rész megőrzése kötelező.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díszítő elemeit;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parapet-konvektor vagy klímaberendezés, parabolaantenna közterületről is látható egysége nem helyezhető el. </w:t>
      </w:r>
    </w:p>
    <w:p w:rsidR="00B76E9E" w:rsidRPr="00B43509" w:rsidRDefault="00B76E9E" w:rsidP="00B76E9E">
      <w:pPr>
        <w:pStyle w:val="Listaszerbekezds"/>
        <w:numPr>
          <w:ilvl w:val="1"/>
          <w:numId w:val="6"/>
        </w:numPr>
        <w:tabs>
          <w:tab w:val="left" w:pos="284"/>
        </w:tabs>
        <w:kinsoku w:val="0"/>
        <w:ind w:left="567" w:hanging="283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B4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B43509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B76E9E" w:rsidRPr="0017603D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lastRenderedPageBreak/>
        <w:t>Nem általános védelem, hanem egyes épületelem 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(4)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védett épület belső korszerűsítését, átalakítását, esetleg bővítését az eredeti szerkezet és belső értékek tiszteletben tartásával kell megoldani.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10.§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11.§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12.§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6B0117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>, amennyiben az azévi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6E9E" w:rsidRPr="00820DC0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820DC0" w:rsidRDefault="00B76E9E" w:rsidP="00B76E9E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B76E9E" w:rsidRPr="007923EA" w:rsidRDefault="00B76E9E" w:rsidP="00B76E9E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építési engedély köteles: az építési engedélyezési tervdokumentációt és a jogerős építési engedélyt,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(4) Csak azok a pályázatok részesíthetők támogatásban, amelyeket a munkák megkezdése előtt nyújtanak be és a felújítás költsége részletes kalkulációval igazolható, hitelt érdemlően alátámasztott.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B76E9E" w:rsidRPr="007923EA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5301B1" w:rsidRDefault="00B76E9E" w:rsidP="00B76E9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B76E9E" w:rsidRPr="007923EA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14.§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DF3775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B76E9E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B76E9E" w:rsidRPr="0017603D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015BD8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3A50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5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országos védelem alatt álló területek (védett források, víznyelők, barlangok), </w:t>
      </w:r>
      <w:r w:rsidR="007828CC">
        <w:rPr>
          <w:rFonts w:ascii="Times New Roman" w:hAnsi="Times New Roman" w:cs="Times New Roman"/>
          <w:sz w:val="24"/>
          <w:szCs w:val="24"/>
        </w:rPr>
        <w:t xml:space="preserve">ex lege védett lápterületek 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tájképvédelmi szempontból kiemelten kezelendő területek, illetve a térségi jelentőségű tájképvédelmi övezetek területe, ahol jelen R előírásai mellett az egyéb jogszabályok előírásait is alkalmazni kell.</w:t>
      </w:r>
    </w:p>
    <w:p w:rsidR="007A410B" w:rsidRDefault="007A410B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műemléki környezetek.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015BD8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3A50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4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6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1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) A település </w:t>
      </w:r>
      <w:r w:rsidR="0047355C">
        <w:rPr>
          <w:rFonts w:ascii="Times New Roman" w:hAnsi="Times New Roman" w:cs="Times New Roman"/>
          <w:sz w:val="24"/>
          <w:szCs w:val="24"/>
        </w:rPr>
        <w:t xml:space="preserve">teljes igazgatási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területén tilos az </w:t>
      </w:r>
      <w:r w:rsidR="00C1732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="00C1732D"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="00C1732D"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1F5358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2</w:t>
      </w:r>
      <w:r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 xml:space="preserve">Falusias </w:t>
      </w:r>
      <w:r w:rsidR="00BF72D8">
        <w:rPr>
          <w:rFonts w:ascii="Times New Roman" w:hAnsi="Times New Roman" w:cs="Times New Roman"/>
          <w:sz w:val="24"/>
          <w:szCs w:val="24"/>
        </w:rPr>
        <w:t xml:space="preserve">karakterbe </w:t>
      </w:r>
      <w:r w:rsidR="007D4184" w:rsidRPr="007923EA">
        <w:rPr>
          <w:rFonts w:ascii="Times New Roman" w:hAnsi="Times New Roman" w:cs="Times New Roman"/>
          <w:sz w:val="24"/>
          <w:szCs w:val="24"/>
        </w:rPr>
        <w:t>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tégla- és terrakotta vörös színek illetve természetes építőanyagok esetén azok természetes színei kivételével más színek nem alkalmazhatók. Faburkolat, faszerkezetek esetén a barna és zöld szín és annak árnyalatai is alkalmazhatók</w:t>
      </w:r>
      <w:r w:rsidRPr="001F5358">
        <w:rPr>
          <w:rFonts w:ascii="Times New Roman" w:hAnsi="Times New Roman" w:cs="Times New Roman"/>
          <w:sz w:val="24"/>
          <w:szCs w:val="24"/>
        </w:rPr>
        <w:t>.</w:t>
      </w:r>
      <w:r w:rsidR="00A7288B" w:rsidRPr="001F5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Pr="007923EA">
        <w:rPr>
          <w:rFonts w:ascii="Times New Roman" w:hAnsi="Times New Roman" w:cs="Times New Roman"/>
          <w:sz w:val="24"/>
          <w:szCs w:val="24"/>
        </w:rPr>
        <w:t>nem lehetnek</w:t>
      </w:r>
      <w:r w:rsidR="00B3058A">
        <w:rPr>
          <w:rFonts w:ascii="Times New Roman" w:hAnsi="Times New Roman" w:cs="Times New Roman"/>
          <w:sz w:val="24"/>
          <w:szCs w:val="24"/>
        </w:rPr>
        <w:t>, kivéve a vakolt támfalakat és a kiselemes növényültetésre is alkalmas támfalelemekből épült támfalakat.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külterületen, beépítésre nem szánt –</w:t>
      </w:r>
      <w:r w:rsidR="00C33D03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mezőgazdasági terület, birtokközpont kivételével - a drótfonatos kerítésen,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vadvédelmi hálón, karámon kívül más kerítés </w:t>
      </w:r>
      <w:r w:rsidRPr="007923EA">
        <w:rPr>
          <w:rFonts w:ascii="Times New Roman" w:hAnsi="Times New Roman" w:cs="Times New Roman"/>
          <w:sz w:val="24"/>
          <w:szCs w:val="24"/>
        </w:rPr>
        <w:t xml:space="preserve">nem építhető. </w:t>
      </w:r>
    </w:p>
    <w:p w:rsidR="00B3058A" w:rsidRDefault="00B3058A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FB" w:rsidRPr="00AE75FB" w:rsidRDefault="009044C0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B3058A">
        <w:rPr>
          <w:rFonts w:ascii="Times New Roman" w:hAnsi="Times New Roman" w:cs="Times New Roman"/>
          <w:sz w:val="24"/>
          <w:szCs w:val="24"/>
        </w:rPr>
        <w:t>település</w:t>
      </w:r>
      <w:r w:rsidR="002566ED">
        <w:rPr>
          <w:rFonts w:ascii="Times New Roman" w:hAnsi="Times New Roman" w:cs="Times New Roman"/>
          <w:sz w:val="24"/>
          <w:szCs w:val="24"/>
        </w:rPr>
        <w:t xml:space="preserve"> belterületén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="007A410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2566ED">
        <w:rPr>
          <w:rFonts w:ascii="Times New Roman" w:hAnsi="Times New Roman" w:cs="Times New Roman"/>
          <w:sz w:val="24"/>
          <w:szCs w:val="24"/>
        </w:rPr>
        <w:t>3 építményszint építhető (pince, földszint, tetőtér).</w:t>
      </w:r>
      <w:r w:rsidR="00373EE2">
        <w:rPr>
          <w:rFonts w:ascii="Times New Roman" w:hAnsi="Times New Roman" w:cs="Times New Roman"/>
          <w:sz w:val="24"/>
          <w:szCs w:val="24"/>
        </w:rPr>
        <w:t xml:space="preserve"> A tetőhajlás</w:t>
      </w:r>
      <w:r w:rsidR="00B3058A">
        <w:rPr>
          <w:rFonts w:ascii="Times New Roman" w:hAnsi="Times New Roman" w:cs="Times New Roman"/>
          <w:sz w:val="24"/>
          <w:szCs w:val="24"/>
        </w:rPr>
        <w:t xml:space="preserve"> jellemzően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  <w:r w:rsidR="00B3058A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373EE2">
        <w:rPr>
          <w:rFonts w:ascii="Times New Roman" w:hAnsi="Times New Roman" w:cs="Times New Roman"/>
          <w:sz w:val="24"/>
          <w:szCs w:val="24"/>
        </w:rPr>
        <w:t xml:space="preserve">-45 fok közötti lehet, égetett </w:t>
      </w:r>
      <w:r w:rsidR="00373EE2" w:rsidRPr="00AE75FB">
        <w:rPr>
          <w:rFonts w:ascii="Times New Roman" w:hAnsi="Times New Roman" w:cs="Times New Roman"/>
          <w:sz w:val="24"/>
          <w:szCs w:val="24"/>
        </w:rPr>
        <w:t>agyagcserép</w:t>
      </w:r>
      <w:r w:rsidR="00B3058A" w:rsidRPr="00AE75FB">
        <w:rPr>
          <w:rFonts w:ascii="Times New Roman" w:hAnsi="Times New Roman" w:cs="Times New Roman"/>
          <w:sz w:val="24"/>
          <w:szCs w:val="24"/>
        </w:rPr>
        <w:t>, vagy színben és struktúrában ahhoz hasonló kiselemes</w:t>
      </w:r>
      <w:r w:rsidR="00373EE2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992B9A">
        <w:rPr>
          <w:rFonts w:ascii="Times New Roman" w:hAnsi="Times New Roman" w:cs="Times New Roman"/>
          <w:sz w:val="24"/>
          <w:szCs w:val="24"/>
        </w:rPr>
        <w:t xml:space="preserve">pikkelyszerű </w:t>
      </w:r>
      <w:r w:rsidR="00373EE2" w:rsidRPr="00AE75FB">
        <w:rPr>
          <w:rFonts w:ascii="Times New Roman" w:hAnsi="Times New Roman" w:cs="Times New Roman"/>
          <w:sz w:val="24"/>
          <w:szCs w:val="24"/>
        </w:rPr>
        <w:t>fedéssel.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015BD8">
        <w:rPr>
          <w:rFonts w:ascii="Times New Roman" w:hAnsi="Times New Roman" w:cs="Times New Roman"/>
          <w:sz w:val="24"/>
          <w:szCs w:val="24"/>
        </w:rPr>
        <w:t>A részletes szabályok az egyes jellegek szabályozásban találhatók.</w:t>
      </w:r>
    </w:p>
    <w:p w:rsidR="00E74DCA" w:rsidRDefault="002566ED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373EE2">
        <w:rPr>
          <w:rFonts w:ascii="Times New Roman" w:hAnsi="Times New Roman" w:cs="Times New Roman"/>
          <w:sz w:val="24"/>
          <w:szCs w:val="24"/>
        </w:rPr>
        <w:t xml:space="preserve">z </w:t>
      </w:r>
      <w:r w:rsidR="00373EE2" w:rsidRPr="00B75702">
        <w:rPr>
          <w:rFonts w:ascii="Times New Roman" w:hAnsi="Times New Roman" w:cs="Times New Roman"/>
          <w:sz w:val="24"/>
          <w:szCs w:val="24"/>
        </w:rPr>
        <w:t>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A" w:rsidRDefault="005A57EA" w:rsidP="005A57EA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4E" w:rsidRPr="0020604C" w:rsidRDefault="0020604C" w:rsidP="0020604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sz w:val="24"/>
          <w:szCs w:val="24"/>
        </w:rPr>
        <w:t>A burkolt felületek mennyiségét a lehető legkisebbre kell csökkenteni.</w:t>
      </w:r>
    </w:p>
    <w:p w:rsidR="00015BD8" w:rsidRDefault="00015BD8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30" w:rsidRPr="00015BD8" w:rsidRDefault="00477730" w:rsidP="00015BD8">
      <w:pPr>
        <w:pStyle w:val="Cmsor20"/>
        <w:keepNext/>
        <w:keepLines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lastRenderedPageBreak/>
        <w:t>Fejezet</w:t>
      </w:r>
      <w:bookmarkEnd w:id="0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>Lehatárolásuk a rajzi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Pr="00163477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358">
        <w:rPr>
          <w:rFonts w:ascii="Times New Roman" w:hAnsi="Times New Roman" w:cs="Times New Roman"/>
          <w:b/>
          <w:sz w:val="24"/>
          <w:szCs w:val="24"/>
        </w:rPr>
        <w:t>7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>
        <w:rPr>
          <w:rFonts w:ascii="Times New Roman" w:hAnsi="Times New Roman" w:cs="Times New Roman"/>
          <w:b/>
          <w:sz w:val="24"/>
          <w:szCs w:val="24"/>
        </w:rPr>
        <w:t>„</w:t>
      </w:r>
      <w:r w:rsidR="002566ED">
        <w:rPr>
          <w:rFonts w:ascii="Times New Roman" w:hAnsi="Times New Roman" w:cs="Times New Roman"/>
          <w:sz w:val="24"/>
          <w:szCs w:val="24"/>
        </w:rPr>
        <w:t>Falusias</w:t>
      </w:r>
      <w:r w:rsidR="00BF72D8">
        <w:rPr>
          <w:rFonts w:ascii="Times New Roman" w:hAnsi="Times New Roman" w:cs="Times New Roman"/>
          <w:sz w:val="24"/>
          <w:szCs w:val="24"/>
        </w:rPr>
        <w:t>”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karakterű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77" w:rsidRPr="00BD03E3" w:rsidRDefault="00B871EC" w:rsidP="00BD03E3">
      <w:pPr>
        <w:pStyle w:val="Listaszerbekezds"/>
        <w:numPr>
          <w:ilvl w:val="1"/>
          <w:numId w:val="27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>, max.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 xml:space="preserve">lag magastetős, az utcavonalra merőleges nyeregtetős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A30CE8">
        <w:rPr>
          <w:rFonts w:ascii="Times New Roman" w:hAnsi="Times New Roman" w:cs="Times New Roman"/>
          <w:sz w:val="24"/>
          <w:szCs w:val="24"/>
        </w:rPr>
        <w:t xml:space="preserve">. </w:t>
      </w:r>
      <w:r w:rsidR="00A56F52">
        <w:rPr>
          <w:rFonts w:ascii="Times New Roman" w:hAnsi="Times New Roman" w:cs="Times New Roman"/>
          <w:sz w:val="24"/>
          <w:szCs w:val="24"/>
        </w:rPr>
        <w:t>A hátsókert felé eső mellékfunkciójú épület tetőhajlásszöge és tetőalakja ettől eltérő 25-45 fokos is lehet.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</w:t>
      </w:r>
      <w:r w:rsidR="00135E6C">
        <w:rPr>
          <w:rFonts w:ascii="Times New Roman" w:hAnsi="Times New Roman" w:cs="Times New Roman"/>
          <w:sz w:val="24"/>
          <w:szCs w:val="24"/>
        </w:rPr>
        <w:t xml:space="preserve"> és „macskalépcső”</w:t>
      </w:r>
      <w:r w:rsidRPr="007923EA">
        <w:rPr>
          <w:rFonts w:ascii="Times New Roman" w:hAnsi="Times New Roman" w:cs="Times New Roman"/>
          <w:sz w:val="24"/>
          <w:szCs w:val="24"/>
        </w:rPr>
        <w:t xml:space="preserve">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homlokzat csak vakolt – festett (meszelt) felületű lehet. A lábazat tégla-, </w:t>
      </w:r>
      <w:r>
        <w:rPr>
          <w:rFonts w:ascii="Times New Roman" w:hAnsi="Times New Roman" w:cs="Times New Roman"/>
          <w:sz w:val="24"/>
          <w:szCs w:val="24"/>
        </w:rPr>
        <w:t>soros rakású 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területen egyes épületek jellemző homlokzati falfelületének színezésénél – a környezethez való illeszkedés érdekében – csak a fehér, szürkével tört fehér, világos okker árnyalatai, természetes építőanyagok alkalmazása esetén azok természetes színei is alkalmazhatók.</w:t>
      </w:r>
    </w:p>
    <w:p w:rsidR="00B871EC" w:rsidRDefault="00B871EC" w:rsidP="00BD03E3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r w:rsidR="00AF51D1">
        <w:rPr>
          <w:rFonts w:ascii="Times New Roman" w:hAnsi="Times New Roman" w:cs="Times New Roman"/>
          <w:sz w:val="24"/>
          <w:szCs w:val="24"/>
        </w:rPr>
        <w:t xml:space="preserve">natúr, </w:t>
      </w:r>
      <w:r w:rsidRPr="007923EA">
        <w:rPr>
          <w:rFonts w:ascii="Times New Roman" w:hAnsi="Times New Roman" w:cs="Times New Roman"/>
          <w:sz w:val="24"/>
          <w:szCs w:val="24"/>
        </w:rPr>
        <w:t xml:space="preserve">vörös illetve </w:t>
      </w:r>
      <w:r>
        <w:rPr>
          <w:rFonts w:ascii="Times New Roman" w:hAnsi="Times New Roman" w:cs="Times New Roman"/>
          <w:sz w:val="24"/>
          <w:szCs w:val="24"/>
        </w:rPr>
        <w:t>piros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égetett agyagcserép,</w:t>
      </w:r>
      <w:r w:rsidR="00AE75FB">
        <w:rPr>
          <w:rFonts w:ascii="Times New Roman" w:hAnsi="Times New Roman" w:cs="Times New Roman"/>
          <w:sz w:val="24"/>
          <w:szCs w:val="24"/>
        </w:rPr>
        <w:t xml:space="preserve"> valamint ahhoz illeszkedő színű és st</w:t>
      </w:r>
      <w:r w:rsidR="00C560A3">
        <w:rPr>
          <w:rFonts w:ascii="Times New Roman" w:hAnsi="Times New Roman" w:cs="Times New Roman"/>
          <w:sz w:val="24"/>
          <w:szCs w:val="24"/>
        </w:rPr>
        <w:t>r</w:t>
      </w:r>
      <w:r w:rsidR="00AE75FB">
        <w:rPr>
          <w:rFonts w:ascii="Times New Roman" w:hAnsi="Times New Roman" w:cs="Times New Roman"/>
          <w:sz w:val="24"/>
          <w:szCs w:val="24"/>
        </w:rPr>
        <w:t>u</w:t>
      </w:r>
      <w:r w:rsidR="00C560A3">
        <w:rPr>
          <w:rFonts w:ascii="Times New Roman" w:hAnsi="Times New Roman" w:cs="Times New Roman"/>
          <w:sz w:val="24"/>
          <w:szCs w:val="24"/>
        </w:rPr>
        <w:t>k</w:t>
      </w:r>
      <w:r w:rsidR="00AE75FB">
        <w:rPr>
          <w:rFonts w:ascii="Times New Roman" w:hAnsi="Times New Roman" w:cs="Times New Roman"/>
          <w:sz w:val="24"/>
          <w:szCs w:val="24"/>
        </w:rPr>
        <w:t xml:space="preserve">túrájú egyéb </w:t>
      </w:r>
      <w:r w:rsidR="00A30CE8">
        <w:rPr>
          <w:rFonts w:ascii="Times New Roman" w:hAnsi="Times New Roman" w:cs="Times New Roman"/>
          <w:sz w:val="24"/>
          <w:szCs w:val="24"/>
        </w:rPr>
        <w:t xml:space="preserve">sík, kiselemes </w:t>
      </w:r>
      <w:r w:rsidR="00AE75FB">
        <w:rPr>
          <w:rFonts w:ascii="Times New Roman" w:hAnsi="Times New Roman" w:cs="Times New Roman"/>
          <w:sz w:val="24"/>
          <w:szCs w:val="24"/>
        </w:rPr>
        <w:t>pikkelyszerű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illetve természetes pala</w:t>
      </w:r>
      <w:r w:rsidRPr="007923EA">
        <w:rPr>
          <w:rFonts w:ascii="Times New Roman" w:hAnsi="Times New Roman" w:cs="Times New Roman"/>
          <w:sz w:val="24"/>
          <w:szCs w:val="24"/>
        </w:rPr>
        <w:t xml:space="preserve"> 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előpatinásított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Az utcavonali homlokzaton erkély, lodzsa nem építhető.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 xml:space="preserve">és tetőformájához </w:t>
      </w:r>
      <w:r w:rsidRPr="00B871EC">
        <w:rPr>
          <w:rFonts w:ascii="Times New Roman" w:hAnsi="Times New Roman" w:cs="Times New Roman"/>
          <w:sz w:val="24"/>
          <w:szCs w:val="24"/>
        </w:rPr>
        <w:t xml:space="preserve">(utcai homlokzatoknál azokét </w:t>
      </w:r>
      <w:r w:rsidR="005F03D5">
        <w:rPr>
          <w:rFonts w:ascii="Times New Roman" w:hAnsi="Times New Roman" w:cs="Times New Roman"/>
          <w:sz w:val="24"/>
          <w:szCs w:val="24"/>
        </w:rPr>
        <w:t xml:space="preserve">1,0 m-nél nagyobb mértékben </w:t>
      </w:r>
      <w:r w:rsidRPr="00B871EC">
        <w:rPr>
          <w:rFonts w:ascii="Times New Roman" w:hAnsi="Times New Roman" w:cs="Times New Roman"/>
          <w:sz w:val="24"/>
          <w:szCs w:val="24"/>
        </w:rPr>
        <w:t>nem haladhatja meg</w:t>
      </w:r>
      <w:r w:rsidR="00015BD8">
        <w:rPr>
          <w:rFonts w:ascii="Times New Roman" w:hAnsi="Times New Roman" w:cs="Times New Roman"/>
          <w:sz w:val="24"/>
          <w:szCs w:val="24"/>
        </w:rPr>
        <w:t>, ill. két kontyolt tető közé kontyolt tető is építhető</w:t>
      </w:r>
      <w:r w:rsidRPr="00B871EC">
        <w:rPr>
          <w:rFonts w:ascii="Times New Roman" w:hAnsi="Times New Roman" w:cs="Times New Roman"/>
          <w:sz w:val="24"/>
          <w:szCs w:val="24"/>
        </w:rPr>
        <w:t xml:space="preserve">). Az épület arányok megőrzése végett tetőtér beépítésnél a térdfal magassága a </w:t>
      </w:r>
      <w:r w:rsidR="005F03D5">
        <w:rPr>
          <w:rFonts w:ascii="Times New Roman" w:hAnsi="Times New Roman" w:cs="Times New Roman"/>
          <w:sz w:val="24"/>
          <w:szCs w:val="24"/>
        </w:rPr>
        <w:t>9</w:t>
      </w:r>
      <w:r w:rsidRPr="00B871EC">
        <w:rPr>
          <w:rFonts w:ascii="Times New Roman" w:hAnsi="Times New Roman" w:cs="Times New Roman"/>
          <w:sz w:val="24"/>
          <w:szCs w:val="24"/>
        </w:rPr>
        <w:t>0 cm-t nem haladhatja meg még akkor sem ha a</w:t>
      </w:r>
      <w:r w:rsidR="00AE75FB">
        <w:rPr>
          <w:rFonts w:ascii="Times New Roman" w:hAnsi="Times New Roman" w:cs="Times New Roman"/>
          <w:sz w:val="24"/>
          <w:szCs w:val="24"/>
        </w:rPr>
        <w:t>z előírt</w:t>
      </w:r>
      <w:r w:rsidRPr="00B871EC">
        <w:rPr>
          <w:rFonts w:ascii="Times New Roman" w:hAnsi="Times New Roman" w:cs="Times New Roman"/>
          <w:sz w:val="24"/>
          <w:szCs w:val="24"/>
        </w:rPr>
        <w:t xml:space="preserve"> építménymagasság ezt megengedné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közfunkciót ellátó épületek kivételével a tető nem állhat </w:t>
      </w:r>
      <w:r w:rsidR="00AE75FB">
        <w:rPr>
          <w:rFonts w:ascii="Times New Roman" w:hAnsi="Times New Roman" w:cs="Times New Roman"/>
          <w:sz w:val="24"/>
          <w:szCs w:val="24"/>
        </w:rPr>
        <w:t>7</w:t>
      </w:r>
      <w:r w:rsidRPr="00B871EC">
        <w:rPr>
          <w:rFonts w:ascii="Times New Roman" w:hAnsi="Times New Roman" w:cs="Times New Roman"/>
          <w:sz w:val="24"/>
          <w:szCs w:val="24"/>
        </w:rPr>
        <w:t xml:space="preserve"> síknál többől.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meglévő terep </w:t>
      </w:r>
      <w:r w:rsidR="00BF72D8">
        <w:rPr>
          <w:rFonts w:ascii="Times New Roman" w:hAnsi="Times New Roman" w:cs="Times New Roman"/>
          <w:sz w:val="24"/>
          <w:szCs w:val="24"/>
        </w:rPr>
        <w:t>0,5</w:t>
      </w:r>
      <w:r w:rsidRPr="00B871EC">
        <w:rPr>
          <w:rFonts w:ascii="Times New Roman" w:hAnsi="Times New Roman" w:cs="Times New Roman"/>
          <w:sz w:val="24"/>
          <w:szCs w:val="24"/>
        </w:rPr>
        <w:t xml:space="preserve"> métert meghaladó mértékben való rendezése nem lehetséges.</w:t>
      </w:r>
    </w:p>
    <w:p w:rsidR="00B871EC" w:rsidRPr="007923EA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BD03E3">
        <w:rPr>
          <w:rFonts w:ascii="Times New Roman" w:hAnsi="Times New Roman" w:cs="Times New Roman"/>
          <w:sz w:val="24"/>
          <w:szCs w:val="24"/>
        </w:rPr>
        <w:t xml:space="preserve"> falusias jelleg</w:t>
      </w:r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>
        <w:rPr>
          <w:rFonts w:ascii="Times New Roman" w:hAnsi="Times New Roman" w:cs="Times New Roman"/>
          <w:sz w:val="24"/>
          <w:szCs w:val="24"/>
        </w:rPr>
        <w:t xml:space="preserve"> soros rakással építhető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5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magassággal </w:t>
      </w:r>
      <w:r>
        <w:rPr>
          <w:rFonts w:ascii="Times New Roman" w:hAnsi="Times New Roman" w:cs="Times New Roman"/>
          <w:sz w:val="24"/>
          <w:szCs w:val="24"/>
        </w:rPr>
        <w:t xml:space="preserve">és min. 30%-ában futó növénnyel befuttatva. Fa anyagú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6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 xml:space="preserve">min. 30%-os áttörtségű lehet és csak lazúros felületkezelést kaphat a fa eredeti színéhez közelálló színben. Egyéb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áttörtségű lehet max. 60 cm magas tömör a térségben szokásos soros rakású mészkő lábazattal</w:t>
      </w:r>
      <w:r w:rsidR="0014556F">
        <w:rPr>
          <w:rFonts w:ascii="Times New Roman" w:hAnsi="Times New Roman" w:cs="Times New Roman"/>
          <w:sz w:val="24"/>
          <w:szCs w:val="24"/>
        </w:rPr>
        <w:t>, vagy vakolt felülettel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r w:rsidR="00BF72D8">
        <w:rPr>
          <w:rFonts w:ascii="Times New Roman" w:hAnsi="Times New Roman" w:cs="Times New Roman"/>
          <w:sz w:val="24"/>
          <w:szCs w:val="24"/>
        </w:rPr>
        <w:t>háló, vagy léckerítés lehet m</w:t>
      </w:r>
      <w:r w:rsidR="00C560A3">
        <w:rPr>
          <w:rFonts w:ascii="Times New Roman" w:hAnsi="Times New Roman" w:cs="Times New Roman"/>
          <w:sz w:val="24"/>
          <w:szCs w:val="24"/>
        </w:rPr>
        <w:t>a</w:t>
      </w:r>
      <w:r w:rsidR="00BF72D8">
        <w:rPr>
          <w:rFonts w:ascii="Times New Roman" w:hAnsi="Times New Roman" w:cs="Times New Roman"/>
          <w:sz w:val="24"/>
          <w:szCs w:val="24"/>
        </w:rPr>
        <w:t xml:space="preserve">x. 20 cm-es tömör lábazattal, </w:t>
      </w:r>
      <w:r w:rsidRPr="007923EA">
        <w:rPr>
          <w:rFonts w:ascii="Times New Roman" w:hAnsi="Times New Roman" w:cs="Times New Roman"/>
          <w:sz w:val="24"/>
          <w:szCs w:val="24"/>
        </w:rPr>
        <w:t>magassága nem haladhatja meg a 1,80 m-t</w:t>
      </w:r>
      <w:r w:rsidR="00AE75FB">
        <w:rPr>
          <w:rFonts w:ascii="Times New Roman" w:hAnsi="Times New Roman" w:cs="Times New Roman"/>
          <w:sz w:val="24"/>
          <w:szCs w:val="24"/>
        </w:rPr>
        <w:t xml:space="preserve"> és min. 50%-ban áttört kell legyen.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lastRenderedPageBreak/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klímaberendezés kültéri egysége, parapetkonvektor kültéri egysége nem helyezhető el.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telepíthető, napenergia hasznosító berendezés a tetősíkba telepíthető.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B871EC" w:rsidRPr="007923EA" w:rsidRDefault="005F03D5" w:rsidP="00B87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Égéstermék elvezetésére utcai homlokzaton szerelt kémény nem építhető.</w:t>
      </w:r>
    </w:p>
    <w:p w:rsidR="00B871EC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B871EC" w:rsidRPr="007923EA" w:rsidRDefault="005F03D5" w:rsidP="00B871EC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helyezhető el úgy, hogy: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megjelenésével, színezésével, méreteivel ne okozzon esztétikai és látványbeli zavart a településképben a közterületei felőli látványban, és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b) a </w:t>
      </w:r>
      <w:r w:rsidR="00BD03E3"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</w:p>
    <w:p w:rsidR="00B871EC" w:rsidRDefault="005F03D5" w:rsidP="00937054">
      <w:pPr>
        <w:pStyle w:val="Listaszerbekezds"/>
        <w:kinsoku w:val="0"/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új építmény építésénél, meglévő építmény átalakításánál, funkcióváltásánál, homlokzati felújításánál a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937054" w:rsidRPr="00876787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Az övezetekben a telek teljes területének 10 %-át </w:t>
      </w:r>
      <w:r w:rsidR="00172C7F">
        <w:rPr>
          <w:rFonts w:ascii="Times New Roman" w:hAnsi="Times New Roman" w:cs="Times New Roman"/>
          <w:color w:val="000000" w:themeColor="text1"/>
          <w:sz w:val="24"/>
          <w:szCs w:val="24"/>
        </w:rPr>
        <w:t>minimum két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szintű növényzettel fedetten kell kialakítani és fenntartani.</w:t>
      </w:r>
    </w:p>
    <w:p w:rsidR="00937054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) A teljes telekterület minden 300 m2-e után legalább egy környezettűrő, nagy lomb-koronát növelő fa legyen a telken.</w:t>
      </w:r>
    </w:p>
    <w:p w:rsidR="00937054" w:rsidRDefault="00937054" w:rsidP="00B871EC">
      <w:pPr>
        <w:pStyle w:val="Listaszerbekezds"/>
        <w:kinsoku w:val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200" w:rsidRPr="00163477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2C7F">
        <w:rPr>
          <w:rFonts w:ascii="Times New Roman" w:hAnsi="Times New Roman" w:cs="Times New Roman"/>
          <w:b/>
          <w:sz w:val="24"/>
          <w:szCs w:val="24"/>
        </w:rPr>
        <w:t>8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</w:t>
      </w:r>
      <w:r w:rsidR="00BF72D8">
        <w:rPr>
          <w:rFonts w:ascii="Times New Roman" w:hAnsi="Times New Roman" w:cs="Times New Roman"/>
          <w:sz w:val="24"/>
          <w:szCs w:val="24"/>
        </w:rPr>
        <w:t>F</w:t>
      </w:r>
      <w:r w:rsidR="00172C7F">
        <w:rPr>
          <w:rFonts w:ascii="Times New Roman" w:hAnsi="Times New Roman" w:cs="Times New Roman"/>
          <w:sz w:val="24"/>
          <w:szCs w:val="24"/>
        </w:rPr>
        <w:t>alusias karakterű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épületek csak magastetővel létesíthetők. A 8 méternél nagyobb fesztávú csarnokszerkezetek kivételével a tető hajlásszöge 30°-45º között lehet, tetőhéjazatként cserépfedést, vagy sötét tónusú kiselemes hatású fedést kell alkalmazni. A nagyfesztávú csarnokszerkezetek alacsonyabb hajlásszögű tetővel, illetve formájában és karakterében a cseréphez igazodó fedéssel vagy fémlemezfedéssel építhetők.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72C7F">
        <w:rPr>
          <w:rFonts w:ascii="Times New Roman" w:hAnsi="Times New Roman" w:cs="Times New Roman"/>
          <w:sz w:val="24"/>
          <w:szCs w:val="24"/>
        </w:rPr>
        <w:t>Az utcai telekhatáron csak maximum 50 cm magasságú természetes anyagból készülő tömör lábazatos, 1,50 – 2,20 méter magasságú, áttört utcai kerítések létesíthetők. A kerítést javasolt növénytelepítéssel kísérni. Útcsatlakozásoknál azonban a szabadlátást akadályozó létesítményeket elhelyezni, valamint 1,20 m-nél magasabb növényzetet ültetni tilos.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72C7F">
        <w:rPr>
          <w:rFonts w:ascii="Times New Roman" w:hAnsi="Times New Roman" w:cs="Times New Roman"/>
          <w:sz w:val="24"/>
          <w:szCs w:val="24"/>
        </w:rPr>
        <w:t>A telkek be nem épített, illetve gazdasági céllal nem hasznosított részét, továbbá a beültetési kötelezettséggel érintett területeket 16/18 törzs körméretű fákkal fásítva, parkosítva kell kialakítani, illetve fenntartani, a telekhatárok mentén legalább egy fasort kell telepíteni. A fákat a használatbavételi engedély kérelmezéséig el kell ültetni, a használatbavételi engedély csak ennek megléte esetén adható ki.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előkertben portaépület elhelyezhető.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5200" w:rsidRDefault="00645200" w:rsidP="008767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>Zöld- és Erdő karakterű</w:t>
      </w:r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Az épületek, építmények kizárólag tájba</w:t>
      </w:r>
      <w:r w:rsidR="00C56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illő,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épület esetén magastető</w:t>
      </w:r>
      <w:r w:rsidR="00C560A3">
        <w:rPr>
          <w:rFonts w:ascii="Times New Roman" w:hAnsi="Times New Roman" w:cs="Times New Roman"/>
          <w:color w:val="000000" w:themeColor="text1"/>
          <w:sz w:val="24"/>
          <w:szCs w:val="24"/>
        </w:rPr>
        <w:t>vel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, nyeregt</w:t>
      </w:r>
      <w:r w:rsidR="00C560A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tővel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Erdőtelepítés, erdőfelújítás során valamennyi erdőterületen a termőhelyi adottságoknak megfelelő honos fafajok telepítendők, ill. természet- és környezetkímélő gazdálkodási módszerek alkalmazandók.</w:t>
      </w:r>
    </w:p>
    <w:p w:rsidR="00B2004E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 terek, teresedések, zöldterületek tudatosan úgy alakítandók ki, hogy minden területrésznek legyen funkciója (Pihenés, idegenforgalom, tájékoztatás, emlékművek-és táblák, utcaberendezések elhelyezése) a közlekedési területek és közműsávokon túlmenően.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zöldfelületeket 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>. mellékletének fajlistájából választott  fajokkal lehet betelepíteni.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30CE8">
        <w:rPr>
          <w:rFonts w:ascii="Times New Roman" w:hAnsi="Times New Roman" w:cs="Times New Roman"/>
          <w:color w:val="000000" w:themeColor="text1"/>
          <w:sz w:val="24"/>
          <w:szCs w:val="24"/>
        </w:rPr>
        <w:t>Magyargencs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területén lévő természeti értékeket (források, erdők, vizek, kialakult felszíni formák, történetileg kialakult tájkép, tájjelleg) az értékükkel összhangban kiemelt védelemben kell részesíteni.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természeti és építészeti értékek védelme érdekében </w:t>
      </w:r>
      <w:r w:rsidR="00A30CE8">
        <w:rPr>
          <w:rFonts w:ascii="Times New Roman" w:hAnsi="Times New Roman" w:cs="Times New Roman"/>
          <w:color w:val="000000" w:themeColor="text1"/>
          <w:sz w:val="24"/>
          <w:szCs w:val="24"/>
        </w:rPr>
        <w:t>Magyargencs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külterületi részein tilos olyan tevékenységet folytatni, amely a természeti értékeket, a táj jellegét, a védett növény- és állatvilágot és az adott terület rendeltetését zavarja.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7">
        <w:rPr>
          <w:rFonts w:ascii="Times New Roman" w:hAnsi="Times New Roman" w:cs="Times New Roman"/>
          <w:b/>
          <w:sz w:val="24"/>
          <w:szCs w:val="24"/>
        </w:rPr>
        <w:t>2</w:t>
      </w:r>
      <w:r w:rsidR="00404543">
        <w:rPr>
          <w:rFonts w:ascii="Times New Roman" w:hAnsi="Times New Roman" w:cs="Times New Roman"/>
          <w:b/>
          <w:sz w:val="24"/>
          <w:szCs w:val="24"/>
        </w:rPr>
        <w:t>0</w:t>
      </w:r>
      <w:r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>
        <w:rPr>
          <w:rFonts w:ascii="Times New Roman" w:hAnsi="Times New Roman" w:cs="Times New Roman"/>
          <w:sz w:val="24"/>
          <w:szCs w:val="24"/>
        </w:rPr>
        <w:t xml:space="preserve">Mezőgazdasági </w:t>
      </w:r>
      <w:r w:rsidRPr="008D2B0F">
        <w:rPr>
          <w:rFonts w:ascii="Times New Roman" w:hAnsi="Times New Roman" w:cs="Times New Roman"/>
          <w:sz w:val="24"/>
          <w:szCs w:val="24"/>
        </w:rPr>
        <w:t>karakterű</w:t>
      </w:r>
      <w:r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felsorolt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) A 100 m2-nél nagyobb homlokzatok felületét tagoltan kell kialakítani.</w:t>
      </w:r>
    </w:p>
    <w:p w:rsidR="008D2B0F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vízfolyásokat, állóvizeket kísérő erdő-, gyepterületek és nádasok megtartandók, más művelési ágba nem sorolhatók, legfeljebb a gyepterületek ligetes fásítása engedélyezhető. Fásítás kizárólag az adott termőhely adottságainak megfelelő 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megtalálható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fafajokkal történhet.</w:t>
      </w:r>
    </w:p>
    <w:p w:rsidR="005A57EA" w:rsidRPr="00324087" w:rsidRDefault="00324087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>z általános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mezőgazdasági területeken csak hagyományos, földszintes, nyeregtetős, tájba illő épületek építhetők. A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építménymagasság – a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sajátos technológiájú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építményeket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kivéve – az </w:t>
      </w:r>
      <w:smartTag w:uri="urn:schemas-microsoft-com:office:smarttags" w:element="metricconverter">
        <w:smartTagPr>
          <w:attr w:name="ProductID" w:val="5,0 m￩ter"/>
        </w:smartTagPr>
        <w:r w:rsidR="005A57EA" w:rsidRPr="00324087">
          <w:rPr>
            <w:rFonts w:ascii="Times New Roman" w:hAnsi="Times New Roman" w:cs="Times New Roman"/>
            <w:color w:val="000000" w:themeColor="text1"/>
            <w:sz w:val="24"/>
            <w:szCs w:val="24"/>
          </w:rPr>
          <w:t>5,0 méter</w:t>
        </w:r>
      </w:smartTag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építménymagasságot, ill. a homlokzatmagasság a 6,0 métert nem haladhatja meg.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sajátos technológiából következő új formájú, megjelenésű építményeket tájba illesztve kell elhelyezni.</w:t>
      </w:r>
      <w:r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 területen csak hagyományos épületszerkezetű, tájba illő, oromfalas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hajlású, 9-12 m szélesség esetén 25-40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 építmény 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kő, tégla, fa,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héjazata 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égetett cserép, nád,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vagy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világos (lehetőleg fehér) vakolat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vagy nat</w:t>
      </w:r>
      <w:r w:rsidR="00C560A3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színű faburkolat.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) Az utak, patakok, árkok mentén az élővilágot és a táj esztétikai megjelenését gazdagító erdősávok, fasorok telepítendők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. mellékletében szereplő fajokból.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A földrészletek mezőgazdasági műveléssel nem hasznosított, be nem épített területét zöldfelületként kell kialakítani és fenntartani.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területen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em helyezhető el az övezetben mobil építmény, lakókocsi, lakókonténer.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A5466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fogva</w:t>
      </w:r>
      <w:r w:rsidR="004A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822BE5" w:rsidRPr="007923EA" w:rsidRDefault="00822BE5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14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világörökség várományos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A30CE8">
        <w:rPr>
          <w:rFonts w:ascii="Times New Roman" w:hAnsi="Times New Roman" w:cs="Times New Roman"/>
          <w:color w:val="000000" w:themeColor="text1"/>
          <w:sz w:val="24"/>
          <w:szCs w:val="24"/>
        </w:rPr>
        <w:t>Magyargencs</w:t>
      </w:r>
      <w:r w:rsidR="003B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képviselő Testületének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7923EA" w:rsidRDefault="004A5466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4A5466" w:rsidRDefault="00577F7D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Pr="007923EA" w:rsidRDefault="004A5466" w:rsidP="004A5466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A5466" w:rsidRPr="007923EA" w:rsidRDefault="004A5466" w:rsidP="004A546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6A2684" w:rsidRPr="007923EA" w:rsidRDefault="006A2684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</w:t>
      </w:r>
      <w:r w:rsidR="00E30C6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324087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23.§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466" w:rsidRPr="00565D73" w:rsidRDefault="004A5466" w:rsidP="004A546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4A5466" w:rsidRPr="007923EA" w:rsidRDefault="004A5466" w:rsidP="004A5466">
      <w:pPr>
        <w:pStyle w:val="Listaszerbekezds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 feladata, szükség esetén a települési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bevonásával.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4A5466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441C01">
        <w:rPr>
          <w:rFonts w:ascii="Times New Roman" w:hAnsi="Times New Roman" w:cs="Times New Roman"/>
          <w:sz w:val="24"/>
          <w:szCs w:val="24"/>
        </w:rPr>
        <w:t xml:space="preserve">hatályos eljárási törvény alapján </w:t>
      </w:r>
      <w:r w:rsidR="00561CA3" w:rsidRPr="007923EA">
        <w:rPr>
          <w:rFonts w:ascii="Times New Roman" w:hAnsi="Times New Roman" w:cs="Times New Roman"/>
          <w:sz w:val="24"/>
          <w:szCs w:val="24"/>
        </w:rPr>
        <w:t>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építési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>köteles beszerezni a települési főépítész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4A5466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 xml:space="preserve">az építési tevékenységre a korábban kiadott szakmai konzultáció eredményeképpen kiadott </w:t>
      </w:r>
      <w:r w:rsidR="00081330" w:rsidRPr="007923EA">
        <w:rPr>
          <w:rFonts w:ascii="Times New Roman" w:hAnsi="Times New Roman" w:cs="Times New Roman"/>
          <w:sz w:val="24"/>
          <w:szCs w:val="24"/>
        </w:rPr>
        <w:lastRenderedPageBreak/>
        <w:t>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441C01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</w:t>
      </w:r>
      <w:r w:rsidR="00441C01">
        <w:rPr>
          <w:rFonts w:ascii="Times New Roman" w:hAnsi="Times New Roman" w:cs="Times New Roman"/>
          <w:sz w:val="24"/>
          <w:szCs w:val="24"/>
        </w:rPr>
        <w:t xml:space="preserve"> 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>kiszabásakor a polgármester mérlegeli a jogsértő magatartás súlyát, különösen a településkép védelméhez fűződő érdek sérelmének mértékét, a jogsértés ismételtségét,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F52">
        <w:rPr>
          <w:rFonts w:ascii="Times New Roman" w:hAnsi="Times New Roman" w:cs="Times New Roman"/>
          <w:b/>
          <w:sz w:val="24"/>
          <w:szCs w:val="24"/>
        </w:rPr>
        <w:t>6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FF5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Boros Tamás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9A724B" w:rsidRPr="00C3133B" w:rsidRDefault="00B005C1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022BF7" w:rsidRPr="00A57EBF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86013" w:rsidRDefault="00E8601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E7" w:rsidRDefault="008920E7" w:rsidP="008920E7">
      <w:pPr>
        <w:spacing w:after="0"/>
        <w:jc w:val="both"/>
      </w:pPr>
    </w:p>
    <w:p w:rsidR="00941FA7" w:rsidRPr="00941FA7" w:rsidRDefault="00941FA7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76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268"/>
        <w:gridCol w:w="2976"/>
      </w:tblGrid>
      <w:tr w:rsidR="00C12B5C" w:rsidRPr="00C12B5C" w:rsidTr="00C412C9">
        <w:tc>
          <w:tcPr>
            <w:tcW w:w="2410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2268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4.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Háczky-kúria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14.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Áts kastély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53.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641/1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Gaál ház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73.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Berdó ház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74-1, 74-2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102/1,102/2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Barcza-kúria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82.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Magyargencsi Óvoda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Petőfi u. 124.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Lakóház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Ady u. 17.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Szücs/Cséby kastély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183/3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Magtárépület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597/2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Evangélikus templom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Római Katalikus templom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188-187 hrsz között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Levente lőfal</w:t>
            </w:r>
          </w:p>
        </w:tc>
      </w:tr>
      <w:tr w:rsidR="00C412C9" w:rsidRPr="00C412C9" w:rsidTr="00C412C9">
        <w:tc>
          <w:tcPr>
            <w:tcW w:w="2410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Hertelendy-Újhely</w:t>
            </w:r>
          </w:p>
        </w:tc>
        <w:tc>
          <w:tcPr>
            <w:tcW w:w="2268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805 hrsz.</w:t>
            </w:r>
          </w:p>
        </w:tc>
        <w:tc>
          <w:tcPr>
            <w:tcW w:w="2976" w:type="dxa"/>
          </w:tcPr>
          <w:p w:rsidR="00C412C9" w:rsidRPr="00C412C9" w:rsidRDefault="00C412C9" w:rsidP="00C412C9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412C9">
              <w:rPr>
                <w:rFonts w:ascii="Times New Roman" w:hAnsi="Times New Roman" w:cs="Times New Roman"/>
              </w:rPr>
              <w:t>Vendégház</w:t>
            </w:r>
          </w:p>
        </w:tc>
      </w:tr>
    </w:tbl>
    <w:p w:rsidR="00665B11" w:rsidRDefault="00665B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5B11" w:rsidRPr="00941FA7" w:rsidRDefault="00665B11" w:rsidP="00665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 xml:space="preserve">Helyi védelem alatt álló </w:t>
      </w:r>
      <w:r>
        <w:rPr>
          <w:rFonts w:ascii="Times New Roman" w:hAnsi="Times New Roman" w:cs="Times New Roman"/>
          <w:b/>
          <w:sz w:val="24"/>
          <w:szCs w:val="24"/>
        </w:rPr>
        <w:t>emlékművek</w:t>
      </w:r>
    </w:p>
    <w:tbl>
      <w:tblPr>
        <w:tblW w:w="8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134"/>
        <w:gridCol w:w="3969"/>
      </w:tblGrid>
      <w:tr w:rsidR="00665B11" w:rsidRPr="00665B11" w:rsidTr="00665B11">
        <w:tc>
          <w:tcPr>
            <w:tcW w:w="2977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>Magyargencs külterület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Magyargencs</w:t>
            </w:r>
          </w:p>
        </w:tc>
        <w:tc>
          <w:tcPr>
            <w:tcW w:w="1134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>0121/6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208</w:t>
            </w:r>
          </w:p>
        </w:tc>
        <w:tc>
          <w:tcPr>
            <w:tcW w:w="3969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>Szűcs István huszárkapitány sírja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I. és II. Világháborús emlékmű a „Hősi ligetben”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65B11" w:rsidRDefault="00665B11" w:rsidP="00665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 xml:space="preserve">Helyi védelem alatt álló </w:t>
      </w:r>
      <w:r>
        <w:rPr>
          <w:rFonts w:ascii="Times New Roman" w:hAnsi="Times New Roman" w:cs="Times New Roman"/>
          <w:b/>
          <w:sz w:val="24"/>
          <w:szCs w:val="24"/>
        </w:rPr>
        <w:t>keresztek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4394"/>
      </w:tblGrid>
      <w:tr w:rsidR="00665B11" w:rsidRPr="00665B11" w:rsidTr="00665B11">
        <w:tc>
          <w:tcPr>
            <w:tcW w:w="2410" w:type="dxa"/>
          </w:tcPr>
          <w:p w:rsidR="00665B11" w:rsidRPr="00665B11" w:rsidRDefault="00665B11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 xml:space="preserve">Magyargencs </w:t>
            </w:r>
          </w:p>
          <w:p w:rsidR="00665B11" w:rsidRPr="00665B11" w:rsidRDefault="00665B11" w:rsidP="00D7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Magyargencs</w:t>
            </w:r>
          </w:p>
        </w:tc>
        <w:tc>
          <w:tcPr>
            <w:tcW w:w="1134" w:type="dxa"/>
          </w:tcPr>
          <w:p w:rsidR="00665B11" w:rsidRPr="00665B11" w:rsidRDefault="00665B11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  <w:p w:rsidR="00665B11" w:rsidRPr="00665B11" w:rsidRDefault="00665B11" w:rsidP="00D7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247</w:t>
            </w:r>
          </w:p>
        </w:tc>
        <w:tc>
          <w:tcPr>
            <w:tcW w:w="4394" w:type="dxa"/>
          </w:tcPr>
          <w:p w:rsidR="00665B11" w:rsidRPr="00665B11" w:rsidRDefault="00665B11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Kőkereszt</w:t>
            </w:r>
          </w:p>
          <w:p w:rsidR="00665B11" w:rsidRPr="00665B11" w:rsidRDefault="00665B11" w:rsidP="00D7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Feszület a</w:t>
            </w:r>
            <w:r w:rsidR="00D7310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 „Ó” temetőben</w:t>
            </w:r>
          </w:p>
        </w:tc>
      </w:tr>
      <w:tr w:rsidR="00665B11" w:rsidRPr="00665B11" w:rsidTr="00665B11">
        <w:tc>
          <w:tcPr>
            <w:tcW w:w="2410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 xml:space="preserve">Magyargencs 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Magyargencs</w:t>
            </w:r>
          </w:p>
        </w:tc>
        <w:tc>
          <w:tcPr>
            <w:tcW w:w="1134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0178/2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247</w:t>
            </w:r>
          </w:p>
        </w:tc>
        <w:tc>
          <w:tcPr>
            <w:tcW w:w="4394" w:type="dxa"/>
          </w:tcPr>
          <w:p w:rsidR="00665B11" w:rsidRPr="00665B11" w:rsidRDefault="00665B11" w:rsidP="00665B11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Kettős kereszt az Új temetőben</w:t>
            </w:r>
          </w:p>
          <w:p w:rsidR="00665B11" w:rsidRDefault="00D73103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Értékes XIX.sz-i sírkeresztek</w:t>
            </w:r>
          </w:p>
          <w:p w:rsidR="00665B11" w:rsidRPr="00665B11" w:rsidRDefault="00665B11" w:rsidP="0066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73103" w:rsidRDefault="00D73103" w:rsidP="00D7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 xml:space="preserve">Helyi védelem alatt álló </w:t>
      </w:r>
      <w:r>
        <w:rPr>
          <w:rFonts w:ascii="Times New Roman" w:hAnsi="Times New Roman" w:cs="Times New Roman"/>
          <w:b/>
          <w:sz w:val="24"/>
          <w:szCs w:val="24"/>
        </w:rPr>
        <w:t>emléktáblák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4394"/>
      </w:tblGrid>
      <w:tr w:rsidR="00D73103" w:rsidRPr="00665B11" w:rsidTr="00943380">
        <w:tc>
          <w:tcPr>
            <w:tcW w:w="2410" w:type="dxa"/>
          </w:tcPr>
          <w:p w:rsidR="00D73103" w:rsidRPr="00665B11" w:rsidRDefault="00D73103" w:rsidP="00943380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 xml:space="preserve">Magyargencs </w:t>
            </w:r>
          </w:p>
          <w:p w:rsidR="00D73103" w:rsidRPr="00665B11" w:rsidRDefault="00D73103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65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Magyargencs</w:t>
            </w:r>
          </w:p>
        </w:tc>
        <w:tc>
          <w:tcPr>
            <w:tcW w:w="1134" w:type="dxa"/>
          </w:tcPr>
          <w:p w:rsidR="00D73103" w:rsidRPr="00665B11" w:rsidRDefault="00D73103" w:rsidP="00943380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597/2</w:t>
            </w:r>
          </w:p>
          <w:p w:rsidR="00D73103" w:rsidRPr="00665B11" w:rsidRDefault="00D73103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183/4</w:t>
            </w:r>
          </w:p>
        </w:tc>
        <w:tc>
          <w:tcPr>
            <w:tcW w:w="4394" w:type="dxa"/>
          </w:tcPr>
          <w:p w:rsidR="00D73103" w:rsidRPr="00D73103" w:rsidRDefault="00D73103" w:rsidP="00943380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73103">
              <w:rPr>
                <w:rFonts w:ascii="Times New Roman" w:hAnsi="Times New Roman" w:cs="Times New Roman"/>
              </w:rPr>
              <w:t xml:space="preserve">Evangélikus I.vh. áldozatai r. emléktábla </w:t>
            </w:r>
          </w:p>
          <w:p w:rsidR="00D73103" w:rsidRPr="00665B11" w:rsidRDefault="00D73103" w:rsidP="00D7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3103">
              <w:rPr>
                <w:rFonts w:ascii="Times New Roman" w:hAnsi="Times New Roman" w:cs="Times New Roman"/>
                <w:sz w:val="24"/>
                <w:szCs w:val="24"/>
              </w:rPr>
              <w:t>Soós Lajos emléktábla</w:t>
            </w:r>
            <w:r w:rsidRPr="00D7310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665B11" w:rsidRDefault="00665B11" w:rsidP="00665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03" w:rsidRDefault="00D73103" w:rsidP="00D7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 xml:space="preserve">Helyi védelem alatt álló </w:t>
      </w:r>
      <w:r>
        <w:rPr>
          <w:rFonts w:ascii="Times New Roman" w:hAnsi="Times New Roman" w:cs="Times New Roman"/>
          <w:b/>
          <w:sz w:val="24"/>
          <w:szCs w:val="24"/>
        </w:rPr>
        <w:t>növényzet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4394"/>
      </w:tblGrid>
      <w:tr w:rsidR="00D73103" w:rsidRPr="00665B11" w:rsidTr="00943380">
        <w:tc>
          <w:tcPr>
            <w:tcW w:w="2410" w:type="dxa"/>
          </w:tcPr>
          <w:p w:rsidR="00D73103" w:rsidRPr="00665B11" w:rsidRDefault="00D73103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 xml:space="preserve">Magyargencs </w:t>
            </w:r>
          </w:p>
        </w:tc>
        <w:tc>
          <w:tcPr>
            <w:tcW w:w="1134" w:type="dxa"/>
          </w:tcPr>
          <w:p w:rsidR="00D73103" w:rsidRPr="00665B11" w:rsidRDefault="00D73103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538/16</w:t>
            </w:r>
          </w:p>
        </w:tc>
        <w:tc>
          <w:tcPr>
            <w:tcW w:w="4394" w:type="dxa"/>
          </w:tcPr>
          <w:p w:rsidR="00D73103" w:rsidRPr="00665B11" w:rsidRDefault="00D73103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Két idős kocsányos tölgy</w:t>
            </w:r>
          </w:p>
        </w:tc>
      </w:tr>
    </w:tbl>
    <w:p w:rsidR="00D73103" w:rsidRDefault="00D73103" w:rsidP="00D73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03" w:rsidRDefault="00D73103" w:rsidP="00D7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 xml:space="preserve">Helyi védelem alatt álló </w:t>
      </w:r>
      <w:r>
        <w:rPr>
          <w:rFonts w:ascii="Times New Roman" w:hAnsi="Times New Roman" w:cs="Times New Roman"/>
          <w:b/>
          <w:sz w:val="24"/>
          <w:szCs w:val="24"/>
        </w:rPr>
        <w:t>sír</w:t>
      </w:r>
    </w:p>
    <w:tbl>
      <w:tblPr>
        <w:tblW w:w="8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76"/>
        <w:gridCol w:w="4394"/>
      </w:tblGrid>
      <w:tr w:rsidR="00D73103" w:rsidRPr="00665B11" w:rsidTr="00D73103">
        <w:tc>
          <w:tcPr>
            <w:tcW w:w="2410" w:type="dxa"/>
          </w:tcPr>
          <w:p w:rsidR="00D73103" w:rsidRPr="00665B11" w:rsidRDefault="00D73103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65B11">
              <w:rPr>
                <w:rFonts w:ascii="Times New Roman" w:hAnsi="Times New Roman" w:cs="Times New Roman"/>
              </w:rPr>
              <w:t xml:space="preserve">Magyargencs </w:t>
            </w:r>
          </w:p>
        </w:tc>
        <w:tc>
          <w:tcPr>
            <w:tcW w:w="1276" w:type="dxa"/>
          </w:tcPr>
          <w:p w:rsidR="00D73103" w:rsidRPr="00665B11" w:rsidRDefault="00D73103" w:rsidP="00D73103">
            <w:pPr>
              <w:pStyle w:val="Cmsor5"/>
              <w:tabs>
                <w:tab w:val="left" w:pos="993"/>
                <w:tab w:val="left" w:pos="2835"/>
                <w:tab w:val="left" w:pos="3828"/>
                <w:tab w:val="left" w:pos="5670"/>
                <w:tab w:val="left" w:pos="8789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„Ó” temető</w:t>
            </w:r>
          </w:p>
        </w:tc>
        <w:tc>
          <w:tcPr>
            <w:tcW w:w="4394" w:type="dxa"/>
          </w:tcPr>
          <w:p w:rsidR="00D73103" w:rsidRPr="00D73103" w:rsidRDefault="00D73103" w:rsidP="00D73103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73103">
              <w:rPr>
                <w:rFonts w:ascii="Times New Roman" w:hAnsi="Times New Roman" w:cs="Times New Roman"/>
                <w:sz w:val="24"/>
                <w:szCs w:val="24"/>
              </w:rPr>
              <w:t>Hertelendy Miklós huszárezredes sírhelye</w:t>
            </w:r>
          </w:p>
        </w:tc>
      </w:tr>
    </w:tbl>
    <w:p w:rsidR="00D73103" w:rsidRDefault="00D73103" w:rsidP="00D73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CD" w:rsidRPr="007411CE" w:rsidRDefault="00A57EBF" w:rsidP="003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011C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011CD" w:rsidRDefault="003011CD" w:rsidP="0030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CD" w:rsidRPr="00E74DCA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3011CD" w:rsidRDefault="003011CD" w:rsidP="003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(Arrhenatherum elatius)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(Koeleria cristata)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(Melica ciliate)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pseudodalmatica)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(Cleistogenes serotina)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valesiaca)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(Bellis perennis)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(Scabiosa ocroleuca)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(Thymus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(Veronica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(Pimpinella saxifraga)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(Trifolium repens)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(Galanthus elwesii)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(Polygonatum latifolium)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odorata)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(Convallaria majalis)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(Portulaca grandiflora)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(Petunia hybrida)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wittrockiana)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(Calendula oficinalis)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(Hyacinthus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vernus)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poeticus)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aureus)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pseudonarcissus)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(Iris germanica)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(Narcissus. tazetta)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incomparabilis)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barbatus)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(Tagetes patula)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caryophyllus)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(Centaurea cyanus)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(Silene sp.)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(Bergenia crassifolia)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(Myosotis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(Campanula pyramidalis)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(Anthemis biebersteiniaia)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lastRenderedPageBreak/>
        <w:t>kerti margaréta </w:t>
      </w:r>
      <w:r w:rsidRPr="004C6375">
        <w:rPr>
          <w:rStyle w:val="Kiemels"/>
          <w:color w:val="2F2F2F"/>
        </w:rPr>
        <w:t>(Chrysanthhemum maximum)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(Hesperis matronalis)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>(C. leucantheum)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(Anemone sylvestris)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(Consolida ajacis)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(Lilium candidum)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(Hosta lancifolia)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(Lilium bulbiferum)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(Yucca filamentosa)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(Tulipa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(Phlox paniculata)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(Antirrhinum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(Gypsophila elegans)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(Amaranthus hypochondriacus)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nagy meténg</w:t>
      </w:r>
      <w:r w:rsidRPr="004C6375">
        <w:rPr>
          <w:rStyle w:val="Kiemels"/>
          <w:color w:val="2F2F2F"/>
        </w:rPr>
        <w:t> (Vinca major)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(Hypossus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(Lavandula angustifolia)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(Rosmarinus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>(Ruta graveolens)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(Salvia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(Thymus serpyllum, T.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(Ocymum basalicum)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(Origanum vulgare)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(Cotoneaster horizontalis)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(Pyracantha coccinea)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(Craetegus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(Buddleia davidii)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(Hibiscus siriacus)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(Campsis radicans)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(Tropaeolum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(Lonicera tatarica)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(Lonicera tellmaniana)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(Hedera helix)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(Ipomoea tricolor)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(Vitis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(Ipomoea purpurea)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(Wisteria sinensis)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sziklai ternye </w:t>
      </w:r>
      <w:r w:rsidRPr="004C6375">
        <w:rPr>
          <w:rStyle w:val="Kiemels"/>
          <w:color w:val="2F2F2F"/>
        </w:rPr>
        <w:t>(Alyssum saxatile)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(Sedum album)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(Sempervivum marmoreum)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(Sedum acre)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(Juglans regia)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(Prunus armeniaca)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(Prunus persica)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(Prunus dulcis)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(Prunus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(Prunus cerasus)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(Cerasus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(Malus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(Pyrus communis)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(Vitis vinifera)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(Ficus carica)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(Rubus ideaus)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(Ribes spicatum)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(Ribes uva-crispa)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(Pelargonium zonale)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kislevelű hárs </w:t>
      </w:r>
      <w:r w:rsidRPr="004C6375">
        <w:rPr>
          <w:rStyle w:val="Kiemels"/>
          <w:color w:val="2F2F2F"/>
          <w:shd w:val="clear" w:color="auto" w:fill="FFFFFF"/>
        </w:rPr>
        <w:t>(Tilia cordata)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(Aesculus hippocastanum)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(Quercus pubescens)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(Quercus petrae)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(Acer campestre)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(Ulmus minor)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(Fraxinus exceksior)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(Fraxinus ornus)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(Sorbus aucuparia)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(Populus tremula)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(Betula pendula)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(Cotoneaster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(Cotinus coggygria)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(Crataegus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(Euonymus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(Cornus sanguinea)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(Prunus spionosa)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(Ligustrum vulgare)</w:t>
      </w:r>
    </w:p>
    <w:p w:rsidR="003011CD" w:rsidRPr="00F05C14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541AD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920E7" w:rsidRDefault="0089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Rajzi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2B5C" w:rsidRPr="00766B27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C12B5C" w:rsidRDefault="00C560A3" w:rsidP="003709AF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1118235</wp:posOffset>
            </wp:positionV>
            <wp:extent cx="6494780" cy="4211320"/>
            <wp:effectExtent l="0" t="0" r="1270" b="0"/>
            <wp:wrapSquare wrapText="bothSides"/>
            <wp:docPr id="265" name="Kép 265" descr="C:\Users\Felhasznalo\Desktop\TAK 2017\TAK Mencshely\Települési lehatárolá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elhasznalo\Desktop\TAK 2017\TAK Mencshely\Települési lehatárolás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GoBack"/>
      <w:bookmarkEnd w:id="2"/>
    </w:p>
    <w:sectPr w:rsidR="00C12B5C" w:rsidSect="006225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38" w:rsidRDefault="00DA4738" w:rsidP="00EC442C">
      <w:pPr>
        <w:spacing w:after="0" w:line="240" w:lineRule="auto"/>
      </w:pPr>
      <w:r>
        <w:separator/>
      </w:r>
    </w:p>
  </w:endnote>
  <w:endnote w:type="continuationSeparator" w:id="0">
    <w:p w:rsidR="00DA4738" w:rsidRDefault="00DA4738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38" w:rsidRDefault="00DA4738" w:rsidP="00EC442C">
      <w:pPr>
        <w:spacing w:after="0" w:line="240" w:lineRule="auto"/>
      </w:pPr>
      <w:r>
        <w:separator/>
      </w:r>
    </w:p>
  </w:footnote>
  <w:footnote w:type="continuationSeparator" w:id="0">
    <w:p w:rsidR="00DA4738" w:rsidRDefault="00DA4738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207721"/>
      <w:docPartObj>
        <w:docPartGallery w:val="Page Numbers (Top of Page)"/>
        <w:docPartUnique/>
      </w:docPartObj>
    </w:sdtPr>
    <w:sdtContent>
      <w:p w:rsidR="00665B11" w:rsidRDefault="00622516">
        <w:pPr>
          <w:pStyle w:val="lfej"/>
          <w:jc w:val="center"/>
        </w:pPr>
        <w:r>
          <w:fldChar w:fldCharType="begin"/>
        </w:r>
        <w:r w:rsidR="00665B11">
          <w:instrText>PAGE   \* MERGEFORMAT</w:instrText>
        </w:r>
        <w:r>
          <w:fldChar w:fldCharType="separate"/>
        </w:r>
        <w:r w:rsidR="00494758">
          <w:rPr>
            <w:noProof/>
          </w:rPr>
          <w:t>19</w:t>
        </w:r>
        <w:r>
          <w:fldChar w:fldCharType="end"/>
        </w:r>
      </w:p>
    </w:sdtContent>
  </w:sdt>
  <w:p w:rsidR="00665B11" w:rsidRDefault="00665B1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074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B87DF0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4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136C8"/>
    <w:multiLevelType w:val="multilevel"/>
    <w:tmpl w:val="2F76256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>
    <w:nsid w:val="312B6F92"/>
    <w:multiLevelType w:val="multilevel"/>
    <w:tmpl w:val="E2F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A25AF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8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87C31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>
    <w:nsid w:val="47AF39C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C6FB2"/>
    <w:multiLevelType w:val="hybridMultilevel"/>
    <w:tmpl w:val="86F62E8C"/>
    <w:lvl w:ilvl="0" w:tplc="8B5242B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>
    <w:nsid w:val="5BB0289E"/>
    <w:multiLevelType w:val="multilevel"/>
    <w:tmpl w:val="EF0E7E8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7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6E255C07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7706712E"/>
    <w:multiLevelType w:val="hybridMultilevel"/>
    <w:tmpl w:val="24F4102E"/>
    <w:lvl w:ilvl="0" w:tplc="ECECD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3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93A7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4"/>
  </w:num>
  <w:num w:numId="2">
    <w:abstractNumId w:val="36"/>
  </w:num>
  <w:num w:numId="3">
    <w:abstractNumId w:val="23"/>
  </w:num>
  <w:num w:numId="4">
    <w:abstractNumId w:val="28"/>
  </w:num>
  <w:num w:numId="5">
    <w:abstractNumId w:val="5"/>
  </w:num>
  <w:num w:numId="6">
    <w:abstractNumId w:val="34"/>
  </w:num>
  <w:num w:numId="7">
    <w:abstractNumId w:val="33"/>
  </w:num>
  <w:num w:numId="8">
    <w:abstractNumId w:val="38"/>
  </w:num>
  <w:num w:numId="9">
    <w:abstractNumId w:val="40"/>
  </w:num>
  <w:num w:numId="10">
    <w:abstractNumId w:val="31"/>
  </w:num>
  <w:num w:numId="11">
    <w:abstractNumId w:val="26"/>
  </w:num>
  <w:num w:numId="12">
    <w:abstractNumId w:val="37"/>
  </w:num>
  <w:num w:numId="13">
    <w:abstractNumId w:val="13"/>
  </w:num>
  <w:num w:numId="14">
    <w:abstractNumId w:val="8"/>
  </w:num>
  <w:num w:numId="15">
    <w:abstractNumId w:val="3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4"/>
  </w:num>
  <w:num w:numId="22">
    <w:abstractNumId w:val="2"/>
  </w:num>
  <w:num w:numId="23">
    <w:abstractNumId w:val="21"/>
  </w:num>
  <w:num w:numId="24">
    <w:abstractNumId w:val="29"/>
  </w:num>
  <w:num w:numId="25">
    <w:abstractNumId w:val="42"/>
  </w:num>
  <w:num w:numId="26">
    <w:abstractNumId w:val="11"/>
  </w:num>
  <w:num w:numId="27">
    <w:abstractNumId w:val="19"/>
  </w:num>
  <w:num w:numId="28">
    <w:abstractNumId w:val="30"/>
  </w:num>
  <w:num w:numId="29">
    <w:abstractNumId w:val="15"/>
  </w:num>
  <w:num w:numId="30">
    <w:abstractNumId w:val="12"/>
  </w:num>
  <w:num w:numId="31">
    <w:abstractNumId w:val="18"/>
  </w:num>
  <w:num w:numId="32">
    <w:abstractNumId w:val="45"/>
  </w:num>
  <w:num w:numId="33">
    <w:abstractNumId w:val="32"/>
  </w:num>
  <w:num w:numId="34">
    <w:abstractNumId w:val="17"/>
  </w:num>
  <w:num w:numId="35">
    <w:abstractNumId w:val="0"/>
  </w:num>
  <w:num w:numId="36">
    <w:abstractNumId w:val="14"/>
  </w:num>
  <w:num w:numId="37">
    <w:abstractNumId w:val="3"/>
  </w:num>
  <w:num w:numId="38">
    <w:abstractNumId w:val="6"/>
  </w:num>
  <w:num w:numId="39">
    <w:abstractNumId w:val="16"/>
    <w:lvlOverride w:ilvl="0">
      <w:startOverride w:val="4"/>
    </w:lvlOverride>
  </w:num>
  <w:num w:numId="40">
    <w:abstractNumId w:val="16"/>
    <w:lvlOverride w:ilvl="0">
      <w:startOverride w:val="5"/>
    </w:lvlOverride>
  </w:num>
  <w:num w:numId="41">
    <w:abstractNumId w:val="16"/>
    <w:lvlOverride w:ilvl="0">
      <w:startOverride w:val="6"/>
    </w:lvlOverride>
  </w:num>
  <w:num w:numId="42">
    <w:abstractNumId w:val="16"/>
    <w:lvlOverride w:ilvl="0">
      <w:startOverride w:val="7"/>
    </w:lvlOverride>
  </w:num>
  <w:num w:numId="43">
    <w:abstractNumId w:val="39"/>
    <w:lvlOverride w:ilvl="0">
      <w:startOverride w:val="4"/>
    </w:lvlOverride>
  </w:num>
  <w:num w:numId="44">
    <w:abstractNumId w:val="22"/>
  </w:num>
  <w:num w:numId="45">
    <w:abstractNumId w:val="25"/>
    <w:lvlOverride w:ilvl="0">
      <w:startOverride w:val="5"/>
    </w:lvlOverride>
  </w:num>
  <w:num w:numId="46">
    <w:abstractNumId w:val="7"/>
  </w:num>
  <w:num w:numId="47">
    <w:abstractNumId w:val="25"/>
    <w:lvlOverride w:ilvl="0">
      <w:startOverride w:val="10"/>
    </w:lvlOverride>
  </w:num>
  <w:num w:numId="48">
    <w:abstractNumId w:val="25"/>
    <w:lvlOverride w:ilvl="0">
      <w:startOverride w:val="11"/>
    </w:lvlOverride>
  </w:num>
  <w:num w:numId="49">
    <w:abstractNumId w:val="27"/>
  </w:num>
  <w:num w:numId="50">
    <w:abstractNumId w:val="4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275AA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C7895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672D"/>
    <w:rsid w:val="00426FDA"/>
    <w:rsid w:val="00436994"/>
    <w:rsid w:val="00436C6A"/>
    <w:rsid w:val="004419DB"/>
    <w:rsid w:val="00441BA0"/>
    <w:rsid w:val="00441C01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4758"/>
    <w:rsid w:val="0049549F"/>
    <w:rsid w:val="004A10FF"/>
    <w:rsid w:val="004A19C7"/>
    <w:rsid w:val="004A2BEF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22516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5B1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81671"/>
    <w:rsid w:val="0088327B"/>
    <w:rsid w:val="00883C2C"/>
    <w:rsid w:val="0088405D"/>
    <w:rsid w:val="00884910"/>
    <w:rsid w:val="00890502"/>
    <w:rsid w:val="00890C81"/>
    <w:rsid w:val="008920E7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31DB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1184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0CE8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5CF4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250B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12C9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560A3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73103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38"/>
    <w:rsid w:val="00DA47E0"/>
    <w:rsid w:val="00DA59C7"/>
    <w:rsid w:val="00DB28C3"/>
    <w:rsid w:val="00DB48A0"/>
    <w:rsid w:val="00DB6376"/>
    <w:rsid w:val="00DC031E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A2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86013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54F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0DD2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5A54"/>
    <w:rsid w:val="00FF6BBF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aliases w:val="bekezdés"/>
    <w:basedOn w:val="Norml"/>
    <w:next w:val="Norml"/>
    <w:link w:val="Cmsor5Char"/>
    <w:qFormat/>
    <w:rsid w:val="00C412C9"/>
    <w:pPr>
      <w:keepNext/>
      <w:spacing w:before="120" w:after="120" w:line="240" w:lineRule="auto"/>
      <w:outlineLvl w:val="4"/>
    </w:pPr>
    <w:rPr>
      <w:rFonts w:ascii="Arial Narrow" w:eastAsia="Times New Roman" w:hAnsi="Arial Narrow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2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  <w:style w:type="character" w:customStyle="1" w:styleId="Cmsor5Char">
    <w:name w:val="Címsor 5 Char"/>
    <w:aliases w:val="bekezdés Char"/>
    <w:basedOn w:val="Bekezdsalapbettpusa"/>
    <w:link w:val="Cmsor5"/>
    <w:rsid w:val="00C412C9"/>
    <w:rPr>
      <w:rFonts w:ascii="Arial Narrow" w:eastAsia="Times New Roman" w:hAnsi="Arial Narrow" w:cs="Arial"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7BBD-483F-439D-84DE-A3885964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5258</Words>
  <Characters>36287</Characters>
  <Application>Microsoft Office Word</Application>
  <DocSecurity>0</DocSecurity>
  <Lines>302</Lines>
  <Paragraphs>82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Fejezet</vt:lpstr>
      <vt:lpstr>    Eltérő karakterű területek építészeti követelményei</vt:lpstr>
      <vt:lpstr>    Lehatárolásuk a rajzi mellékletben</vt:lpstr>
    </vt:vector>
  </TitlesOfParts>
  <Company/>
  <LinksUpToDate>false</LinksUpToDate>
  <CharactersWithSpaces>41463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User</cp:lastModifiedBy>
  <cp:revision>2</cp:revision>
  <cp:lastPrinted>2017-07-25T11:04:00Z</cp:lastPrinted>
  <dcterms:created xsi:type="dcterms:W3CDTF">2017-12-05T08:55:00Z</dcterms:created>
  <dcterms:modified xsi:type="dcterms:W3CDTF">2017-12-05T08:55:00Z</dcterms:modified>
</cp:coreProperties>
</file>